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34EB" w:rsidRDefault="00CD380D" w:rsidP="00CD380D">
      <w:pPr>
        <w:pStyle w:val="Rubrik1"/>
      </w:pPr>
      <w:proofErr w:type="spellStart"/>
      <w:r>
        <w:t>Interpretive</w:t>
      </w:r>
      <w:proofErr w:type="spellEnd"/>
      <w:r>
        <w:t xml:space="preserve"> </w:t>
      </w:r>
      <w:proofErr w:type="spellStart"/>
      <w:r>
        <w:t>summaries</w:t>
      </w:r>
      <w:proofErr w:type="spellEnd"/>
      <w:r>
        <w:t xml:space="preserve"> SVEPM 2016</w:t>
      </w:r>
    </w:p>
    <w:p w:rsidR="00CD380D" w:rsidRDefault="00CD380D"/>
    <w:p w:rsidR="00CD380D" w:rsidRDefault="00CD380D" w:rsidP="00C03FAE">
      <w:pPr>
        <w:pStyle w:val="Rubrik2"/>
      </w:pPr>
      <w:r>
        <w:t>Index</w:t>
      </w:r>
    </w:p>
    <w:tbl>
      <w:tblPr>
        <w:tblW w:w="43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4"/>
        <w:gridCol w:w="4031"/>
      </w:tblGrid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#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b/>
                <w:bCs/>
                <w:color w:val="000000"/>
                <w:lang w:eastAsia="sv-SE"/>
              </w:rPr>
              <w:t>Presenter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1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val="en-US" w:eastAsia="sv-SE"/>
              </w:rPr>
              <w:t>Theodore J.D. Knight-Jones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2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Orla Shortall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4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Claire Guinat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9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Clazien de Vos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14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Alexis Delabouglise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19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Cristina Rojo Gimeno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22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Stamatis </w:t>
            </w:r>
            <w:proofErr w:type="spellStart"/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Panagiotis</w:t>
            </w:r>
            <w:proofErr w:type="spellEnd"/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 Georgopoulos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25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Jasmeet Kaler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34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Kaare </w:t>
            </w:r>
            <w:proofErr w:type="spellStart"/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Graesbøll</w:t>
            </w:r>
            <w:proofErr w:type="spellEnd"/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35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Lucie Collineau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36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Dirk Pfeiffer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37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Jeroen Dewulf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40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Ana Carolina Lopes Antunes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44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Anna Camilla Birkegård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46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Charlie </w:t>
            </w:r>
            <w:proofErr w:type="spellStart"/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Cador</w:t>
            </w:r>
            <w:proofErr w:type="spellEnd"/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51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Julie Cat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53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 Marie-Marie Olive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54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Corin Malcolm Jack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56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proofErr w:type="spellStart"/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Bhagyalakshmi</w:t>
            </w:r>
            <w:proofErr w:type="spellEnd"/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 </w:t>
            </w:r>
            <w:proofErr w:type="spellStart"/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Chengat</w:t>
            </w:r>
            <w:proofErr w:type="spellEnd"/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 xml:space="preserve"> </w:t>
            </w:r>
            <w:proofErr w:type="spellStart"/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Prakashbabu</w:t>
            </w:r>
            <w:proofErr w:type="spellEnd"/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57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Anouk Veldhuis</w:t>
            </w:r>
          </w:p>
        </w:tc>
      </w:tr>
      <w:tr w:rsidR="00CD380D" w:rsidRPr="00CD380D" w:rsidTr="00C03FAE">
        <w:trPr>
          <w:trHeight w:val="300"/>
        </w:trPr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58</w:t>
            </w:r>
          </w:p>
        </w:tc>
        <w:tc>
          <w:tcPr>
            <w:tcW w:w="4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D380D" w:rsidRPr="00CD380D" w:rsidRDefault="00CD380D" w:rsidP="00CD38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sv-SE"/>
              </w:rPr>
            </w:pPr>
            <w:r w:rsidRPr="00CD380D">
              <w:rPr>
                <w:rFonts w:ascii="Calibri" w:eastAsia="Times New Roman" w:hAnsi="Calibri" w:cs="Calibri"/>
                <w:color w:val="000000"/>
                <w:lang w:eastAsia="sv-SE"/>
              </w:rPr>
              <w:t>Helen Higgins</w:t>
            </w:r>
          </w:p>
        </w:tc>
      </w:tr>
    </w:tbl>
    <w:p w:rsidR="00CD380D" w:rsidRDefault="00CD380D"/>
    <w:p w:rsidR="00CD380D" w:rsidRPr="00CD380D" w:rsidRDefault="00CD380D" w:rsidP="00C03FAE">
      <w:pPr>
        <w:pStyle w:val="Rubrik2"/>
        <w:rPr>
          <w:lang w:val="en-US"/>
        </w:rPr>
      </w:pPr>
      <w:r w:rsidRPr="00CD380D">
        <w:rPr>
          <w:lang w:val="en-US"/>
        </w:rPr>
        <w:t>1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We modelled population immunity achieved by the Turkish FMD vaccination</w:t>
      </w:r>
      <w:r>
        <w:rPr>
          <w:lang w:val="en-US"/>
        </w:rPr>
        <w:t xml:space="preserve"> </w:t>
      </w:r>
      <w:proofErr w:type="spellStart"/>
      <w:r w:rsidRPr="00CD380D">
        <w:rPr>
          <w:lang w:val="en-US"/>
        </w:rPr>
        <w:t>programme</w:t>
      </w:r>
      <w:proofErr w:type="spellEnd"/>
      <w:r w:rsidRPr="00CD380D">
        <w:rPr>
          <w:lang w:val="en-US"/>
        </w:rPr>
        <w:t xml:space="preserve"> assessing changes over the year from spring 2012. Six months after the</w:t>
      </w:r>
      <w:r>
        <w:rPr>
          <w:lang w:val="en-US"/>
        </w:rPr>
        <w:t xml:space="preserve"> </w:t>
      </w:r>
      <w:r w:rsidRPr="00CD380D">
        <w:rPr>
          <w:lang w:val="en-US"/>
        </w:rPr>
        <w:t>last round of vaccination only half of all cattle will have received &gt;1 dose in their life,</w:t>
      </w:r>
      <w:r>
        <w:rPr>
          <w:lang w:val="en-US"/>
        </w:rPr>
        <w:t xml:space="preserve"> </w:t>
      </w:r>
      <w:r w:rsidRPr="00CD380D">
        <w:rPr>
          <w:lang w:val="en-US"/>
        </w:rPr>
        <w:t>with the last dose received &lt;7 months ago. Five months after the last round of</w:t>
      </w:r>
      <w:r>
        <w:rPr>
          <w:lang w:val="en-US"/>
        </w:rPr>
        <w:t xml:space="preserve"> </w:t>
      </w:r>
      <w:r w:rsidRPr="00CD380D">
        <w:rPr>
          <w:lang w:val="en-US"/>
        </w:rPr>
        <w:t>vaccination most cattle will have low immunity. Improved vaccines (now used) and</w:t>
      </w:r>
      <w:r>
        <w:rPr>
          <w:lang w:val="en-US"/>
        </w:rPr>
        <w:t xml:space="preserve"> </w:t>
      </w:r>
      <w:r w:rsidRPr="00CD380D">
        <w:rPr>
          <w:lang w:val="en-US"/>
        </w:rPr>
        <w:t>additional control measures are required.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2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This is the first study exploring expert opinion on both effectiveness and practicality of</w:t>
      </w:r>
      <w:r>
        <w:rPr>
          <w:lang w:val="en-US"/>
        </w:rPr>
        <w:t xml:space="preserve"> </w:t>
      </w:r>
      <w:r w:rsidRPr="00CD380D">
        <w:rPr>
          <w:lang w:val="en-US"/>
        </w:rPr>
        <w:t>biosecurity measures. The most effective biosecurity measures were keeping a closed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herd and preventing contact with </w:t>
      </w:r>
      <w:proofErr w:type="spellStart"/>
      <w:r w:rsidRPr="00CD380D">
        <w:rPr>
          <w:lang w:val="en-US"/>
        </w:rPr>
        <w:t>neighbouring</w:t>
      </w:r>
      <w:proofErr w:type="spellEnd"/>
      <w:r w:rsidRPr="00CD380D">
        <w:rPr>
          <w:lang w:val="en-US"/>
        </w:rPr>
        <w:t xml:space="preserve"> animals, and the most practical</w:t>
      </w:r>
      <w:r>
        <w:rPr>
          <w:lang w:val="en-US"/>
        </w:rPr>
        <w:t xml:space="preserve"> </w:t>
      </w:r>
      <w:r w:rsidRPr="00CD380D">
        <w:rPr>
          <w:lang w:val="en-US"/>
        </w:rPr>
        <w:t>measure was maintaining regular contact with the veterinarian. However many</w:t>
      </w:r>
      <w:r>
        <w:rPr>
          <w:lang w:val="en-US"/>
        </w:rPr>
        <w:t xml:space="preserve"> </w:t>
      </w:r>
      <w:r w:rsidRPr="00CD380D">
        <w:rPr>
          <w:lang w:val="en-US"/>
        </w:rPr>
        <w:t>effective measures scored low for practicality, suggesting work is needed to overcome</w:t>
      </w:r>
      <w:r>
        <w:rPr>
          <w:lang w:val="en-US"/>
        </w:rPr>
        <w:t xml:space="preserve"> </w:t>
      </w:r>
      <w:r w:rsidRPr="00CD380D">
        <w:rPr>
          <w:lang w:val="en-US"/>
        </w:rPr>
        <w:t>farmers' practicality barriers.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4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This study quantifies the transmission of African swine fever virus (ASFV) within pig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herds for </w:t>
      </w:r>
      <w:proofErr w:type="gramStart"/>
      <w:r w:rsidRPr="00CD380D">
        <w:rPr>
          <w:lang w:val="en-US"/>
        </w:rPr>
        <w:t>outbreaks</w:t>
      </w:r>
      <w:proofErr w:type="gramEnd"/>
      <w:r w:rsidRPr="00CD380D">
        <w:rPr>
          <w:lang w:val="en-US"/>
        </w:rPr>
        <w:t xml:space="preserve"> in the Russian Federation between 2010 and 2014. A stochastic</w:t>
      </w:r>
      <w:r>
        <w:rPr>
          <w:lang w:val="en-US"/>
        </w:rPr>
        <w:t xml:space="preserve"> </w:t>
      </w:r>
      <w:r w:rsidRPr="00CD380D">
        <w:rPr>
          <w:lang w:val="en-US"/>
        </w:rPr>
        <w:t>compartmental model was fitted to pig mortality data to estimate epidemiological</w:t>
      </w:r>
      <w:r>
        <w:rPr>
          <w:lang w:val="en-US"/>
        </w:rPr>
        <w:t xml:space="preserve"> </w:t>
      </w:r>
      <w:r w:rsidRPr="00CD380D">
        <w:rPr>
          <w:lang w:val="en-US"/>
        </w:rPr>
        <w:t>parameters using approximate Bayesian computation. The results will enable us to</w:t>
      </w:r>
      <w:r>
        <w:rPr>
          <w:lang w:val="en-US"/>
        </w:rPr>
        <w:t xml:space="preserve"> </w:t>
      </w:r>
      <w:r w:rsidRPr="00CD380D">
        <w:rPr>
          <w:lang w:val="en-US"/>
        </w:rPr>
        <w:t>assess control strategies in simulation studies.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lastRenderedPageBreak/>
        <w:t>9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A structured risk assessment of seven vector-borne animal diseases (VBADs)</w:t>
      </w:r>
      <w:r>
        <w:rPr>
          <w:lang w:val="en-US"/>
        </w:rPr>
        <w:t xml:space="preserve"> </w:t>
      </w:r>
      <w:r w:rsidRPr="00CD380D">
        <w:rPr>
          <w:lang w:val="en-US"/>
        </w:rPr>
        <w:t>indicated that the risk of most VBADs is moderate to high for the Netherlands.</w:t>
      </w:r>
      <w:r>
        <w:rPr>
          <w:lang w:val="en-US"/>
        </w:rPr>
        <w:t xml:space="preserve"> </w:t>
      </w:r>
      <w:r w:rsidRPr="00CD380D">
        <w:rPr>
          <w:lang w:val="en-US"/>
        </w:rPr>
        <w:t>However, clear differences were observed when comparing the risk profiles of the</w:t>
      </w:r>
      <w:r>
        <w:rPr>
          <w:lang w:val="en-US"/>
        </w:rPr>
        <w:t xml:space="preserve"> </w:t>
      </w:r>
      <w:r w:rsidRPr="00CD380D">
        <w:rPr>
          <w:lang w:val="en-US"/>
        </w:rPr>
        <w:t>VBADs based on probability of introduction and impact. Hence, these risk profiles</w:t>
      </w:r>
      <w:r>
        <w:rPr>
          <w:lang w:val="en-US"/>
        </w:rPr>
        <w:t xml:space="preserve"> </w:t>
      </w:r>
      <w:r w:rsidRPr="00CD380D">
        <w:rPr>
          <w:lang w:val="en-US"/>
        </w:rPr>
        <w:t>provide useful information for risk management to prioritize diseases for preparedness.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14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This study illustrates how economic surveys can be used to inform statistical</w:t>
      </w:r>
      <w:r>
        <w:rPr>
          <w:lang w:val="en-US"/>
        </w:rPr>
        <w:t xml:space="preserve"> </w:t>
      </w:r>
      <w:r w:rsidRPr="00CD380D">
        <w:rPr>
          <w:lang w:val="en-US"/>
        </w:rPr>
        <w:t>epidemiological models. The daily poultry meat consumption was found to increase 4-to 11-fold during Lunar New Year festival (January-February) in Viet Nam. To meet</w:t>
      </w:r>
      <w:r>
        <w:rPr>
          <w:lang w:val="en-US"/>
        </w:rPr>
        <w:t xml:space="preserve"> </w:t>
      </w:r>
      <w:r w:rsidRPr="00CD380D">
        <w:rPr>
          <w:lang w:val="en-US"/>
        </w:rPr>
        <w:t>this rise in demand, the broiler poultry population is expected to increase during the</w:t>
      </w:r>
      <w:r>
        <w:rPr>
          <w:lang w:val="en-US"/>
        </w:rPr>
        <w:t xml:space="preserve"> </w:t>
      </w:r>
      <w:r w:rsidRPr="00CD380D">
        <w:rPr>
          <w:lang w:val="en-US"/>
        </w:rPr>
        <w:t>months prior to this festival. This increase in poultry density seems to contribute to the</w:t>
      </w:r>
      <w:r>
        <w:rPr>
          <w:lang w:val="en-US"/>
        </w:rPr>
        <w:t xml:space="preserve"> </w:t>
      </w:r>
      <w:r w:rsidRPr="00CD380D">
        <w:rPr>
          <w:lang w:val="en-US"/>
        </w:rPr>
        <w:t>seasonality of H5N1 HPAI.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19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The results from this farm-economic analysis demonstrated that reducing antimicrobial</w:t>
      </w:r>
      <w:r>
        <w:rPr>
          <w:lang w:val="en-US"/>
        </w:rPr>
        <w:t xml:space="preserve"> </w:t>
      </w:r>
      <w:r w:rsidRPr="00CD380D">
        <w:rPr>
          <w:lang w:val="en-US"/>
        </w:rPr>
        <w:t>use while biosecurity status is improved in farrow-to-finish pig farms does not hamper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the enterprise profit, but there </w:t>
      </w:r>
      <w:proofErr w:type="spellStart"/>
      <w:r w:rsidRPr="00CD380D">
        <w:rPr>
          <w:lang w:val="en-US"/>
        </w:rPr>
        <w:t>isalso</w:t>
      </w:r>
      <w:proofErr w:type="spellEnd"/>
      <w:r w:rsidRPr="00CD380D">
        <w:rPr>
          <w:lang w:val="en-US"/>
        </w:rPr>
        <w:t xml:space="preserve"> a high probability that, depending on the prices of</w:t>
      </w:r>
      <w:r>
        <w:rPr>
          <w:lang w:val="en-US"/>
        </w:rPr>
        <w:t xml:space="preserve"> </w:t>
      </w:r>
      <w:r w:rsidRPr="00CD380D">
        <w:rPr>
          <w:lang w:val="en-US"/>
        </w:rPr>
        <w:t>feed and meat, the enterprise profit is higher for farms which reduced their use. These</w:t>
      </w:r>
      <w:r>
        <w:rPr>
          <w:lang w:val="en-US"/>
        </w:rPr>
        <w:t xml:space="preserve"> </w:t>
      </w:r>
      <w:r w:rsidRPr="00CD380D">
        <w:rPr>
          <w:lang w:val="en-US"/>
        </w:rPr>
        <w:t>results can be crucial for veterinarians and other stakeholders to incentivize farmers to</w:t>
      </w:r>
      <w:r>
        <w:rPr>
          <w:lang w:val="en-US"/>
        </w:rPr>
        <w:t xml:space="preserve"> </w:t>
      </w:r>
      <w:r w:rsidRPr="00CD380D">
        <w:rPr>
          <w:lang w:val="en-US"/>
        </w:rPr>
        <w:t>reduce their current use of antimicrobials.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22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The aims of this paper are two-fold: To identify risk factors and to develop and validate</w:t>
      </w:r>
      <w:r>
        <w:rPr>
          <w:lang w:val="en-US"/>
        </w:rPr>
        <w:t xml:space="preserve"> </w:t>
      </w:r>
      <w:r w:rsidRPr="00CD380D">
        <w:rPr>
          <w:lang w:val="en-US"/>
        </w:rPr>
        <w:t>the performance of predictive models for limb fractures in Thoroughbreds competing in</w:t>
      </w:r>
      <w:r>
        <w:rPr>
          <w:lang w:val="en-US"/>
        </w:rPr>
        <w:t xml:space="preserve"> </w:t>
      </w:r>
      <w:r w:rsidRPr="00CD380D">
        <w:rPr>
          <w:lang w:val="en-US"/>
        </w:rPr>
        <w:t>flat races in North America. All analyses are based on 2,201,152 race starts of</w:t>
      </w:r>
      <w:r>
        <w:rPr>
          <w:lang w:val="en-US"/>
        </w:rPr>
        <w:t xml:space="preserve"> </w:t>
      </w:r>
      <w:r w:rsidRPr="00CD380D">
        <w:rPr>
          <w:lang w:val="en-US"/>
        </w:rPr>
        <w:t>230,034 Thoroughbreds that raced in the USA and Canada from 1st January 2009 to</w:t>
      </w:r>
      <w:r>
        <w:rPr>
          <w:lang w:val="en-US"/>
        </w:rPr>
        <w:t xml:space="preserve"> </w:t>
      </w:r>
      <w:r w:rsidRPr="00CD380D">
        <w:rPr>
          <w:lang w:val="en-US"/>
        </w:rPr>
        <w:t>31st December 2014. 21 risk factors were found to be significantly associated with</w:t>
      </w:r>
      <w:r>
        <w:rPr>
          <w:lang w:val="en-US"/>
        </w:rPr>
        <w:t xml:space="preserve"> </w:t>
      </w:r>
      <w:r w:rsidRPr="00CD380D">
        <w:rPr>
          <w:lang w:val="en-US"/>
        </w:rPr>
        <w:t>fractures (p &lt; 0.05), in the final multi-variable logistic regression models.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25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This paper is the first demonstration of a link between farmer personality/emotions and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disease management and prevalence. In GB, ~ 10% of sheep are lame, 90% caused by </w:t>
      </w:r>
      <w:proofErr w:type="spellStart"/>
      <w:r w:rsidRPr="00CD380D">
        <w:rPr>
          <w:lang w:val="en-US"/>
        </w:rPr>
        <w:t>footrot</w:t>
      </w:r>
      <w:proofErr w:type="spellEnd"/>
      <w:r w:rsidRPr="00CD380D">
        <w:rPr>
          <w:lang w:val="en-US"/>
        </w:rPr>
        <w:t xml:space="preserve"> (FR).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New managements reduce prevalence of FR but uptake is variable. Latent class analysis on management of FR </w:t>
      </w:r>
      <w:proofErr w:type="spellStart"/>
      <w:r w:rsidRPr="00CD380D">
        <w:rPr>
          <w:lang w:val="en-US"/>
        </w:rPr>
        <w:t>behaviours</w:t>
      </w:r>
      <w:proofErr w:type="spellEnd"/>
      <w:r w:rsidRPr="00CD380D">
        <w:rPr>
          <w:lang w:val="en-US"/>
        </w:rPr>
        <w:t>, grouped farmers into 3</w:t>
      </w:r>
      <w:r>
        <w:rPr>
          <w:lang w:val="en-US"/>
        </w:rPr>
        <w:t xml:space="preserve"> </w:t>
      </w:r>
      <w:r w:rsidRPr="00CD380D">
        <w:rPr>
          <w:lang w:val="en-US"/>
        </w:rPr>
        <w:t>classes. Lameness varied between classes; 11% farmers followed best practice and</w:t>
      </w:r>
      <w:r>
        <w:rPr>
          <w:lang w:val="en-US"/>
        </w:rPr>
        <w:t xml:space="preserve"> </w:t>
      </w:r>
      <w:r w:rsidRPr="00CD380D">
        <w:rPr>
          <w:lang w:val="en-US"/>
        </w:rPr>
        <w:t>had the lowest prevalence of lameness. Farmer personality/emotions were linked to</w:t>
      </w:r>
      <w:r>
        <w:rPr>
          <w:lang w:val="en-US"/>
        </w:rPr>
        <w:t xml:space="preserve"> </w:t>
      </w:r>
      <w:r w:rsidRPr="00CD380D">
        <w:rPr>
          <w:lang w:val="en-US"/>
        </w:rPr>
        <w:t>LC membership and lameness prevalence.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34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Detecting a positive sample can be optimized with regard to number of tests and the</w:t>
      </w:r>
      <w:r>
        <w:rPr>
          <w:lang w:val="en-US"/>
        </w:rPr>
        <w:t xml:space="preserve"> </w:t>
      </w:r>
      <w:r w:rsidRPr="00CD380D">
        <w:rPr>
          <w:lang w:val="en-US"/>
        </w:rPr>
        <w:t>speed of testing. The economically optimal solution is a disease specific balance</w:t>
      </w:r>
      <w:r>
        <w:rPr>
          <w:lang w:val="en-US"/>
        </w:rPr>
        <w:t xml:space="preserve"> </w:t>
      </w:r>
      <w:r w:rsidRPr="00CD380D">
        <w:rPr>
          <w:lang w:val="en-US"/>
        </w:rPr>
        <w:t>between these two parameters. We compared several pooling methods in single step</w:t>
      </w:r>
      <w:r>
        <w:rPr>
          <w:lang w:val="en-US"/>
        </w:rPr>
        <w:t xml:space="preserve"> </w:t>
      </w:r>
      <w:r w:rsidRPr="00CD380D">
        <w:rPr>
          <w:lang w:val="en-US"/>
        </w:rPr>
        <w:t>or multiple step modes, and single or multiple dimensions. The best method depends</w:t>
      </w:r>
      <w:r>
        <w:rPr>
          <w:lang w:val="en-US"/>
        </w:rPr>
        <w:t xml:space="preserve"> </w:t>
      </w:r>
      <w:r w:rsidRPr="00CD380D">
        <w:rPr>
          <w:lang w:val="en-US"/>
        </w:rPr>
        <w:t>mainly on the expected prevalence, the number of available samples, and the</w:t>
      </w:r>
      <w:r>
        <w:rPr>
          <w:lang w:val="en-US"/>
        </w:rPr>
        <w:t xml:space="preserve"> </w:t>
      </w:r>
      <w:r w:rsidRPr="00CD380D">
        <w:rPr>
          <w:lang w:val="en-US"/>
        </w:rPr>
        <w:t>sensitivity of a test on a pooled sample.</w:t>
      </w:r>
    </w:p>
    <w:p w:rsidR="00C03FAE" w:rsidRDefault="00C03FAE">
      <w:pPr>
        <w:rPr>
          <w:lang w:val="en-US"/>
        </w:rPr>
      </w:pPr>
      <w:r>
        <w:rPr>
          <w:lang w:val="en-US"/>
        </w:rPr>
        <w:br w:type="page"/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lastRenderedPageBreak/>
        <w:t>35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This study investigated factors influencing pig farmers' and veterinarians' intention to</w:t>
      </w:r>
      <w:r>
        <w:rPr>
          <w:lang w:val="en-US"/>
        </w:rPr>
        <w:t xml:space="preserve"> </w:t>
      </w:r>
      <w:r w:rsidRPr="00CD380D">
        <w:rPr>
          <w:lang w:val="en-US"/>
        </w:rPr>
        <w:t>reduce antimicrobial use (AMU) in six countries. Our survey showed that their</w:t>
      </w:r>
      <w:r>
        <w:rPr>
          <w:lang w:val="en-US"/>
        </w:rPr>
        <w:t xml:space="preserve"> </w:t>
      </w:r>
      <w:r w:rsidRPr="00CD380D">
        <w:rPr>
          <w:lang w:val="en-US"/>
        </w:rPr>
        <w:t>intentions were mainly associated with perceived control of farmers over reducing</w:t>
      </w:r>
      <w:r>
        <w:rPr>
          <w:lang w:val="en-US"/>
        </w:rPr>
        <w:t xml:space="preserve"> </w:t>
      </w:r>
      <w:r w:rsidRPr="00CD380D">
        <w:rPr>
          <w:lang w:val="en-US"/>
        </w:rPr>
        <w:t>AMU. Hence, pig farmers should be encouraged to acquire knowledge and skills to</w:t>
      </w:r>
      <w:r>
        <w:rPr>
          <w:lang w:val="en-US"/>
        </w:rPr>
        <w:t xml:space="preserve"> </w:t>
      </w:r>
      <w:r w:rsidRPr="00CD380D">
        <w:rPr>
          <w:lang w:val="en-US"/>
        </w:rPr>
        <w:t>use alternative measures, whereas veterinarians should strengthen their advisory role</w:t>
      </w:r>
      <w:r>
        <w:rPr>
          <w:lang w:val="en-US"/>
        </w:rPr>
        <w:t xml:space="preserve"> </w:t>
      </w:r>
      <w:r w:rsidRPr="00CD380D">
        <w:rPr>
          <w:lang w:val="en-US"/>
        </w:rPr>
        <w:t>to support and educate farmers.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36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The RISKSUR frameworks and associated decision support tools allow science-based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and integrated </w:t>
      </w:r>
      <w:proofErr w:type="gramStart"/>
      <w:r w:rsidRPr="00CD380D">
        <w:rPr>
          <w:lang w:val="en-US"/>
        </w:rPr>
        <w:t>design</w:t>
      </w:r>
      <w:proofErr w:type="gramEnd"/>
      <w:r w:rsidRPr="00CD380D">
        <w:rPr>
          <w:lang w:val="en-US"/>
        </w:rPr>
        <w:t xml:space="preserve"> and evaluation of surveillance systems in animal health. The</w:t>
      </w:r>
      <w:r>
        <w:rPr>
          <w:lang w:val="en-US"/>
        </w:rPr>
        <w:t xml:space="preserve"> </w:t>
      </w:r>
      <w:r w:rsidRPr="00CD380D">
        <w:rPr>
          <w:lang w:val="en-US"/>
        </w:rPr>
        <w:t>tools are interactive in that those advising policy makers are able to identify and</w:t>
      </w:r>
      <w:r>
        <w:rPr>
          <w:lang w:val="en-US"/>
        </w:rPr>
        <w:t xml:space="preserve"> </w:t>
      </w:r>
      <w:r w:rsidRPr="00CD380D">
        <w:rPr>
          <w:lang w:val="en-US"/>
        </w:rPr>
        <w:t>evaluate surveillance options that meet their needs in a transparent way.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37</w:t>
      </w:r>
    </w:p>
    <w:p w:rsidR="00CD380D" w:rsidRDefault="00CD380D">
      <w:pPr>
        <w:rPr>
          <w:lang w:val="en-US"/>
        </w:rPr>
      </w:pPr>
      <w:r w:rsidRPr="00CD380D">
        <w:rPr>
          <w:lang w:val="en-US"/>
        </w:rPr>
        <w:t>A retrospective study was performed in 227 farrow-to-finish pig farms in 4 European</w:t>
      </w:r>
      <w:r>
        <w:rPr>
          <w:lang w:val="en-US"/>
        </w:rPr>
        <w:t xml:space="preserve"> </w:t>
      </w:r>
      <w:r w:rsidRPr="00CD380D">
        <w:rPr>
          <w:lang w:val="en-US"/>
        </w:rPr>
        <w:t>countries to quantify the antimicrobial usage as well as production, biosecurity and</w:t>
      </w:r>
      <w:r>
        <w:rPr>
          <w:lang w:val="en-US"/>
        </w:rPr>
        <w:t xml:space="preserve"> </w:t>
      </w:r>
      <w:r w:rsidRPr="00CD380D">
        <w:rPr>
          <w:lang w:val="en-US"/>
        </w:rPr>
        <w:t>other disease prevention measures. Huge variation in antimicrobial usage was</w:t>
      </w:r>
      <w:r>
        <w:rPr>
          <w:lang w:val="en-US"/>
        </w:rPr>
        <w:t xml:space="preserve"> </w:t>
      </w:r>
      <w:r w:rsidRPr="00CD380D">
        <w:rPr>
          <w:lang w:val="en-US"/>
        </w:rPr>
        <w:t>observed within and between countries and some useful cross-country associations</w:t>
      </w:r>
      <w:r>
        <w:rPr>
          <w:lang w:val="en-US"/>
        </w:rPr>
        <w:t xml:space="preserve"> </w:t>
      </w:r>
      <w:r w:rsidRPr="00CD380D">
        <w:rPr>
          <w:lang w:val="en-US"/>
        </w:rPr>
        <w:t>were identified allowing for potential interventions such as using a longer farrowing</w:t>
      </w:r>
      <w:r>
        <w:rPr>
          <w:lang w:val="en-US"/>
        </w:rPr>
        <w:t xml:space="preserve"> </w:t>
      </w:r>
      <w:r w:rsidRPr="00CD380D">
        <w:rPr>
          <w:lang w:val="en-US"/>
        </w:rPr>
        <w:t>rhythm, weaning of the piglets at an older age an</w:t>
      </w:r>
      <w:r>
        <w:rPr>
          <w:lang w:val="en-US"/>
        </w:rPr>
        <w:t xml:space="preserve">d improvement of the biosecurity </w:t>
      </w:r>
      <w:r w:rsidRPr="00CD380D">
        <w:rPr>
          <w:lang w:val="en-US"/>
        </w:rPr>
        <w:t>status.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40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This study is a proof of concept, demonstrating the use of generalized dynamic linear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models for monitoring PRRSV </w:t>
      </w:r>
      <w:proofErr w:type="spellStart"/>
      <w:r w:rsidRPr="00CD380D">
        <w:rPr>
          <w:lang w:val="en-US"/>
        </w:rPr>
        <w:t>sero</w:t>
      </w:r>
      <w:proofErr w:type="spellEnd"/>
      <w:r w:rsidRPr="00CD380D">
        <w:rPr>
          <w:lang w:val="en-US"/>
        </w:rPr>
        <w:t>-prevalence in Denmark. Results demonstrated a</w:t>
      </w:r>
      <w:r>
        <w:rPr>
          <w:lang w:val="en-US"/>
        </w:rPr>
        <w:t xml:space="preserve"> </w:t>
      </w:r>
      <w:r w:rsidRPr="00CD380D">
        <w:rPr>
          <w:lang w:val="en-US"/>
        </w:rPr>
        <w:t>flexible model which adapts to data dispersion in the time series. In addition,</w:t>
      </w:r>
      <w:r>
        <w:rPr>
          <w:lang w:val="en-US"/>
        </w:rPr>
        <w:t xml:space="preserve"> </w:t>
      </w:r>
      <w:r w:rsidRPr="00CD380D">
        <w:rPr>
          <w:lang w:val="en-US"/>
        </w:rPr>
        <w:t>aberration values were found based on the growth model trend, which might reduce</w:t>
      </w:r>
      <w:r>
        <w:rPr>
          <w:lang w:val="en-US"/>
        </w:rPr>
        <w:t xml:space="preserve"> </w:t>
      </w:r>
      <w:r w:rsidRPr="00CD380D">
        <w:rPr>
          <w:lang w:val="en-US"/>
        </w:rPr>
        <w:t>the economic impact of false alarm rates and contributes to the trust on the system. It</w:t>
      </w:r>
      <w:r>
        <w:rPr>
          <w:lang w:val="en-US"/>
        </w:rPr>
        <w:t xml:space="preserve"> </w:t>
      </w:r>
      <w:r w:rsidRPr="00CD380D">
        <w:rPr>
          <w:lang w:val="en-US"/>
        </w:rPr>
        <w:t>is hoped that the methods used can guide the work of researchers.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44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For a sample population of 687 conventional pig farms spatial differences for the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antimicrobial resistance genes </w:t>
      </w:r>
      <w:proofErr w:type="spellStart"/>
      <w:proofErr w:type="gramStart"/>
      <w:r w:rsidRPr="00CD380D">
        <w:rPr>
          <w:lang w:val="en-US"/>
        </w:rPr>
        <w:t>tet</w:t>
      </w:r>
      <w:proofErr w:type="spellEnd"/>
      <w:r w:rsidRPr="00CD380D">
        <w:rPr>
          <w:lang w:val="en-US"/>
        </w:rPr>
        <w:t>(</w:t>
      </w:r>
      <w:proofErr w:type="gramEnd"/>
      <w:r w:rsidRPr="00CD380D">
        <w:rPr>
          <w:lang w:val="en-US"/>
        </w:rPr>
        <w:t xml:space="preserve">O), </w:t>
      </w:r>
      <w:proofErr w:type="spellStart"/>
      <w:r w:rsidRPr="00CD380D">
        <w:rPr>
          <w:lang w:val="en-US"/>
        </w:rPr>
        <w:t>tet</w:t>
      </w:r>
      <w:proofErr w:type="spellEnd"/>
      <w:r w:rsidRPr="00CD380D">
        <w:rPr>
          <w:lang w:val="en-US"/>
        </w:rPr>
        <w:t xml:space="preserve">(W), </w:t>
      </w:r>
      <w:proofErr w:type="spellStart"/>
      <w:r w:rsidRPr="00CD380D">
        <w:rPr>
          <w:lang w:val="en-US"/>
        </w:rPr>
        <w:t>erm</w:t>
      </w:r>
      <w:proofErr w:type="spellEnd"/>
      <w:r w:rsidRPr="00CD380D">
        <w:rPr>
          <w:lang w:val="en-US"/>
        </w:rPr>
        <w:t xml:space="preserve">(B) and </w:t>
      </w:r>
      <w:proofErr w:type="spellStart"/>
      <w:r w:rsidRPr="00CD380D">
        <w:rPr>
          <w:lang w:val="en-US"/>
        </w:rPr>
        <w:t>erm</w:t>
      </w:r>
      <w:proofErr w:type="spellEnd"/>
      <w:r w:rsidRPr="00CD380D">
        <w:rPr>
          <w:lang w:val="en-US"/>
        </w:rPr>
        <w:t>(F) were found whereas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no spatial clusters were found for </w:t>
      </w:r>
      <w:proofErr w:type="spellStart"/>
      <w:r w:rsidRPr="00CD380D">
        <w:rPr>
          <w:lang w:val="en-US"/>
        </w:rPr>
        <w:t>tet</w:t>
      </w:r>
      <w:proofErr w:type="spellEnd"/>
      <w:r w:rsidRPr="00CD380D">
        <w:rPr>
          <w:lang w:val="en-US"/>
        </w:rPr>
        <w:t>(M). Furthermore the sample population was</w:t>
      </w:r>
      <w:r>
        <w:rPr>
          <w:lang w:val="en-US"/>
        </w:rPr>
        <w:t xml:space="preserve"> </w:t>
      </w:r>
      <w:r w:rsidRPr="00CD380D">
        <w:rPr>
          <w:lang w:val="en-US"/>
        </w:rPr>
        <w:t>found to be representative for all conventional pig farms with slaughter pigs although</w:t>
      </w:r>
      <w:r>
        <w:rPr>
          <w:lang w:val="en-US"/>
        </w:rPr>
        <w:t xml:space="preserve"> </w:t>
      </w:r>
      <w:r w:rsidRPr="00CD380D">
        <w:rPr>
          <w:lang w:val="en-US"/>
        </w:rPr>
        <w:t>the sample population was not completely random spatial distributed and differences</w:t>
      </w:r>
      <w:r>
        <w:rPr>
          <w:lang w:val="en-US"/>
        </w:rPr>
        <w:t xml:space="preserve"> </w:t>
      </w:r>
      <w:r w:rsidRPr="00CD380D">
        <w:rPr>
          <w:lang w:val="en-US"/>
        </w:rPr>
        <w:t>in the number of pigs were.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46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This experimental study clarifies the impact of maternal antibodies on swine influenza</w:t>
      </w:r>
      <w:r>
        <w:rPr>
          <w:lang w:val="en-US"/>
        </w:rPr>
        <w:t xml:space="preserve"> </w:t>
      </w:r>
      <w:r w:rsidRPr="00CD380D">
        <w:rPr>
          <w:lang w:val="en-US"/>
        </w:rPr>
        <w:t>virus (</w:t>
      </w:r>
      <w:proofErr w:type="spellStart"/>
      <w:r w:rsidRPr="00CD380D">
        <w:rPr>
          <w:lang w:val="en-US"/>
        </w:rPr>
        <w:t>swIAV</w:t>
      </w:r>
      <w:proofErr w:type="spellEnd"/>
      <w:r w:rsidRPr="00CD380D">
        <w:rPr>
          <w:lang w:val="en-US"/>
        </w:rPr>
        <w:t xml:space="preserve">) dynamics of infection and provides quantitative estimates of </w:t>
      </w:r>
      <w:proofErr w:type="spellStart"/>
      <w:r w:rsidRPr="00CD380D">
        <w:rPr>
          <w:lang w:val="en-US"/>
        </w:rPr>
        <w:t>swIAV</w:t>
      </w:r>
      <w:proofErr w:type="spellEnd"/>
      <w:r>
        <w:rPr>
          <w:lang w:val="en-US"/>
        </w:rPr>
        <w:t xml:space="preserve"> </w:t>
      </w:r>
      <w:r w:rsidRPr="00CD380D">
        <w:rPr>
          <w:lang w:val="en-US"/>
        </w:rPr>
        <w:t>transmission rates. Easy-to-apply recommendations such as a strict all-in/all-out policy</w:t>
      </w:r>
      <w:r>
        <w:rPr>
          <w:lang w:val="en-US"/>
        </w:rPr>
        <w:t xml:space="preserve"> </w:t>
      </w:r>
      <w:r w:rsidRPr="00CD380D">
        <w:rPr>
          <w:lang w:val="en-US"/>
        </w:rPr>
        <w:t>at the compartment level can be suggested at the farm level. Estimates will also feed a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dynamic model of </w:t>
      </w:r>
      <w:proofErr w:type="spellStart"/>
      <w:r w:rsidRPr="00CD380D">
        <w:rPr>
          <w:lang w:val="en-US"/>
        </w:rPr>
        <w:t>swIAV</w:t>
      </w:r>
      <w:proofErr w:type="spellEnd"/>
      <w:r w:rsidRPr="00CD380D">
        <w:rPr>
          <w:lang w:val="en-US"/>
        </w:rPr>
        <w:t xml:space="preserve"> spread to identify control </w:t>
      </w:r>
      <w:r>
        <w:rPr>
          <w:lang w:val="en-US"/>
        </w:rPr>
        <w:t>m</w:t>
      </w:r>
      <w:r w:rsidRPr="00CD380D">
        <w:rPr>
          <w:lang w:val="en-US"/>
        </w:rPr>
        <w:t>easures related to population</w:t>
      </w:r>
      <w:r>
        <w:rPr>
          <w:lang w:val="en-US"/>
        </w:rPr>
        <w:t xml:space="preserve"> </w:t>
      </w:r>
      <w:r w:rsidRPr="00CD380D">
        <w:rPr>
          <w:lang w:val="en-US"/>
        </w:rPr>
        <w:t>dynamics and immunity.</w:t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t>51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Tick-borne disease risk assessment requires determining the intensity of tick vector</w:t>
      </w:r>
      <w:r>
        <w:rPr>
          <w:lang w:val="en-US"/>
        </w:rPr>
        <w:t xml:space="preserve"> </w:t>
      </w:r>
      <w:r w:rsidRPr="00CD380D">
        <w:rPr>
          <w:lang w:val="en-US"/>
        </w:rPr>
        <w:t>activity over time. The tick population dynamics model we developed allows defining</w:t>
      </w:r>
      <w:r>
        <w:rPr>
          <w:lang w:val="en-US"/>
        </w:rPr>
        <w:t xml:space="preserve"> </w:t>
      </w:r>
      <w:r w:rsidRPr="00CD380D">
        <w:rPr>
          <w:lang w:val="en-US"/>
        </w:rPr>
        <w:t>more accurately the periods at risk of tick bite, in the scope of improving tick-borne</w:t>
      </w:r>
      <w:r>
        <w:rPr>
          <w:lang w:val="en-US"/>
        </w:rPr>
        <w:t xml:space="preserve"> </w:t>
      </w:r>
      <w:r w:rsidRPr="00CD380D">
        <w:rPr>
          <w:lang w:val="en-US"/>
        </w:rPr>
        <w:t>disease control and prevention. In the context of oncoming climate warming in Europe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this model is particularly relevant to provide scenarios on the future I. </w:t>
      </w:r>
      <w:proofErr w:type="spellStart"/>
      <w:r w:rsidRPr="00CD380D">
        <w:rPr>
          <w:lang w:val="en-US"/>
        </w:rPr>
        <w:t>ricinus</w:t>
      </w:r>
      <w:proofErr w:type="spellEnd"/>
      <w:r w:rsidRPr="00CD380D">
        <w:rPr>
          <w:lang w:val="en-US"/>
        </w:rPr>
        <w:t xml:space="preserve"> activity</w:t>
      </w:r>
      <w:r>
        <w:rPr>
          <w:lang w:val="en-US"/>
        </w:rPr>
        <w:t xml:space="preserve"> </w:t>
      </w:r>
      <w:r w:rsidRPr="00CD380D">
        <w:rPr>
          <w:lang w:val="en-US"/>
        </w:rPr>
        <w:t>seasonal patterns.</w:t>
      </w:r>
    </w:p>
    <w:p w:rsidR="00C03FAE" w:rsidRDefault="00C03FAE">
      <w:pPr>
        <w:rPr>
          <w:lang w:val="en-US"/>
        </w:rPr>
      </w:pPr>
      <w:r>
        <w:rPr>
          <w:lang w:val="en-US"/>
        </w:rPr>
        <w:br w:type="page"/>
      </w:r>
    </w:p>
    <w:p w:rsidR="00CD380D" w:rsidRDefault="00CD380D" w:rsidP="00C03FAE">
      <w:pPr>
        <w:pStyle w:val="Rubrik2"/>
        <w:rPr>
          <w:lang w:val="en-US"/>
        </w:rPr>
      </w:pPr>
      <w:r>
        <w:rPr>
          <w:lang w:val="en-US"/>
        </w:rPr>
        <w:lastRenderedPageBreak/>
        <w:t>53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Malagasy areas seem favorable to enzootic dynamics of Rift Valley Fever while others</w:t>
      </w:r>
      <w:r>
        <w:rPr>
          <w:lang w:val="en-US"/>
        </w:rPr>
        <w:t xml:space="preserve"> </w:t>
      </w:r>
      <w:r w:rsidRPr="00CD380D">
        <w:rPr>
          <w:lang w:val="en-US"/>
        </w:rPr>
        <w:t>suitable for epizootic dynamics. To estimate and describe the force of infection (FOI)</w:t>
      </w:r>
      <w:r>
        <w:rPr>
          <w:lang w:val="en-US"/>
        </w:rPr>
        <w:t xml:space="preserve"> </w:t>
      </w:r>
      <w:r w:rsidRPr="00CD380D">
        <w:rPr>
          <w:lang w:val="en-US"/>
        </w:rPr>
        <w:t>and it's variation over time in these two contrasted situations we analyzed several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datasets. In areas favorable to enzootic cycle, FOI is constant except during the </w:t>
      </w:r>
      <w:proofErr w:type="spellStart"/>
      <w:r w:rsidRPr="00CD380D">
        <w:rPr>
          <w:lang w:val="en-US"/>
        </w:rPr>
        <w:t>preepizootic</w:t>
      </w:r>
      <w:proofErr w:type="spellEnd"/>
      <w:r w:rsidRPr="00CD380D">
        <w:rPr>
          <w:lang w:val="en-US"/>
        </w:rPr>
        <w:t xml:space="preserve"> period. In areas suitable to epizootics, it is variable alternating periods of high</w:t>
      </w:r>
      <w:r>
        <w:rPr>
          <w:lang w:val="en-US"/>
        </w:rPr>
        <w:t xml:space="preserve"> </w:t>
      </w:r>
      <w:r w:rsidRPr="00CD380D">
        <w:rPr>
          <w:lang w:val="en-US"/>
        </w:rPr>
        <w:t>with low FOI.</w:t>
      </w:r>
    </w:p>
    <w:p w:rsidR="00CD380D" w:rsidRDefault="00CD380D" w:rsidP="00C03FAE">
      <w:pPr>
        <w:pStyle w:val="Rubrik2"/>
        <w:rPr>
          <w:lang w:val="en-US"/>
        </w:rPr>
      </w:pPr>
      <w:bookmarkStart w:id="0" w:name="_GoBack"/>
      <w:r>
        <w:rPr>
          <w:lang w:val="en-US"/>
        </w:rPr>
        <w:t>54</w:t>
      </w:r>
    </w:p>
    <w:bookmarkEnd w:id="0"/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The initial survey analysis have highlighted some key points that are dividing opinions</w:t>
      </w:r>
      <w:r>
        <w:rPr>
          <w:lang w:val="en-US"/>
        </w:rPr>
        <w:t xml:space="preserve"> </w:t>
      </w:r>
      <w:r w:rsidRPr="00CD380D">
        <w:rPr>
          <w:lang w:val="en-US"/>
        </w:rPr>
        <w:t>within the sheep farming community. An assessment of factors positively and</w:t>
      </w:r>
      <w:r>
        <w:rPr>
          <w:lang w:val="en-US"/>
        </w:rPr>
        <w:t xml:space="preserve"> </w:t>
      </w:r>
      <w:r w:rsidRPr="00CD380D">
        <w:rPr>
          <w:lang w:val="en-US"/>
        </w:rPr>
        <w:t>negatively impacting on the uptake of best practice advice will help target areas</w:t>
      </w:r>
      <w:r>
        <w:rPr>
          <w:lang w:val="en-US"/>
        </w:rPr>
        <w:t xml:space="preserve"> </w:t>
      </w:r>
      <w:r w:rsidRPr="00CD380D">
        <w:rPr>
          <w:lang w:val="en-US"/>
        </w:rPr>
        <w:t>commonly influencing farmer's decision making processes, and ultimately improve</w:t>
      </w:r>
      <w:r>
        <w:rPr>
          <w:lang w:val="en-US"/>
        </w:rPr>
        <w:t xml:space="preserve"> </w:t>
      </w:r>
      <w:r w:rsidRPr="00CD380D">
        <w:rPr>
          <w:lang w:val="en-US"/>
        </w:rPr>
        <w:t>engagement and subsequent adoption of sustainable worm control approaches.</w:t>
      </w:r>
    </w:p>
    <w:p w:rsidR="00CD380D" w:rsidRDefault="00CD380D">
      <w:pPr>
        <w:rPr>
          <w:lang w:val="en-US"/>
        </w:rPr>
      </w:pPr>
      <w:r>
        <w:rPr>
          <w:lang w:val="en-US"/>
        </w:rPr>
        <w:br w:type="page"/>
      </w:r>
    </w:p>
    <w:p w:rsidR="00CD380D" w:rsidRDefault="00CD380D" w:rsidP="00CD380D">
      <w:pPr>
        <w:rPr>
          <w:lang w:val="en-US"/>
        </w:rPr>
      </w:pPr>
      <w:r>
        <w:rPr>
          <w:lang w:val="en-US"/>
        </w:rPr>
        <w:lastRenderedPageBreak/>
        <w:t>56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 xml:space="preserve">The study suggests an increase in the likelihood of detection of </w:t>
      </w:r>
      <w:proofErr w:type="spellStart"/>
      <w:r w:rsidRPr="00CD380D">
        <w:rPr>
          <w:lang w:val="en-US"/>
        </w:rPr>
        <w:t>Cysticercus</w:t>
      </w:r>
      <w:proofErr w:type="spellEnd"/>
      <w:r w:rsidRPr="00CD380D">
        <w:rPr>
          <w:lang w:val="en-US"/>
        </w:rPr>
        <w:t xml:space="preserve"> </w:t>
      </w:r>
      <w:proofErr w:type="spellStart"/>
      <w:r w:rsidRPr="00CD380D">
        <w:rPr>
          <w:lang w:val="en-US"/>
        </w:rPr>
        <w:t>bovis</w:t>
      </w:r>
      <w:proofErr w:type="spellEnd"/>
      <w:r>
        <w:rPr>
          <w:lang w:val="en-US"/>
        </w:rPr>
        <w:t xml:space="preserve"> </w:t>
      </w:r>
      <w:r w:rsidRPr="00CD380D">
        <w:rPr>
          <w:lang w:val="en-US"/>
        </w:rPr>
        <w:t>infected animals by targeting meat inspection activities on the basis of routinely</w:t>
      </w:r>
      <w:r>
        <w:rPr>
          <w:lang w:val="en-US"/>
        </w:rPr>
        <w:t xml:space="preserve"> </w:t>
      </w:r>
      <w:r w:rsidRPr="00CD380D">
        <w:rPr>
          <w:lang w:val="en-US"/>
        </w:rPr>
        <w:t>available animal movement history. This is particularly relevant given the low</w:t>
      </w:r>
      <w:r>
        <w:rPr>
          <w:lang w:val="en-US"/>
        </w:rPr>
        <w:t xml:space="preserve"> </w:t>
      </w:r>
      <w:r w:rsidRPr="00CD380D">
        <w:rPr>
          <w:lang w:val="en-US"/>
        </w:rPr>
        <w:t>sensitivity of existing inspection methods and helps to ensure that meat inspection is</w:t>
      </w:r>
      <w:r>
        <w:rPr>
          <w:lang w:val="en-US"/>
        </w:rPr>
        <w:t xml:space="preserve"> </w:t>
      </w:r>
      <w:r w:rsidRPr="00CD380D">
        <w:rPr>
          <w:lang w:val="en-US"/>
        </w:rPr>
        <w:t>more cost-effective, uses inspection resources better and provides better information</w:t>
      </w:r>
      <w:r>
        <w:rPr>
          <w:lang w:val="en-US"/>
        </w:rPr>
        <w:t xml:space="preserve"> </w:t>
      </w:r>
      <w:r w:rsidRPr="00CD380D">
        <w:rPr>
          <w:lang w:val="en-US"/>
        </w:rPr>
        <w:t xml:space="preserve">to C </w:t>
      </w:r>
      <w:proofErr w:type="spellStart"/>
      <w:r w:rsidRPr="00CD380D">
        <w:rPr>
          <w:lang w:val="en-US"/>
        </w:rPr>
        <w:t>bovis</w:t>
      </w:r>
      <w:proofErr w:type="spellEnd"/>
      <w:r w:rsidRPr="00CD380D">
        <w:rPr>
          <w:lang w:val="en-US"/>
        </w:rPr>
        <w:t xml:space="preserve"> affected farms.</w:t>
      </w:r>
    </w:p>
    <w:p w:rsidR="00CD380D" w:rsidRDefault="00CD380D" w:rsidP="00CD380D">
      <w:pPr>
        <w:rPr>
          <w:lang w:val="en-US"/>
        </w:rPr>
      </w:pPr>
      <w:r>
        <w:rPr>
          <w:lang w:val="en-US"/>
        </w:rPr>
        <w:t>57</w:t>
      </w:r>
    </w:p>
    <w:p w:rsidR="00CD380D" w:rsidRDefault="00CD380D" w:rsidP="00CD380D">
      <w:pPr>
        <w:rPr>
          <w:lang w:val="en-US"/>
        </w:rPr>
      </w:pPr>
      <w:r w:rsidRPr="00CD380D">
        <w:rPr>
          <w:lang w:val="en-US"/>
        </w:rPr>
        <w:t>This study aimed at testing the application of a surveillance design framework to</w:t>
      </w:r>
      <w:r>
        <w:rPr>
          <w:lang w:val="en-US"/>
        </w:rPr>
        <w:t xml:space="preserve"> </w:t>
      </w:r>
      <w:r w:rsidRPr="00CD380D">
        <w:rPr>
          <w:lang w:val="en-US"/>
        </w:rPr>
        <w:t>assess the epidemiological performance of surveillance systems for demonstrating</w:t>
      </w:r>
      <w:r>
        <w:rPr>
          <w:lang w:val="en-US"/>
        </w:rPr>
        <w:t xml:space="preserve"> </w:t>
      </w:r>
      <w:r w:rsidRPr="00CD380D">
        <w:rPr>
          <w:lang w:val="en-US"/>
        </w:rPr>
        <w:t>freedom from disease. A scenario-tree analysis was carried out to (i) determine the</w:t>
      </w:r>
      <w:r>
        <w:rPr>
          <w:lang w:val="en-US"/>
        </w:rPr>
        <w:t xml:space="preserve"> </w:t>
      </w:r>
      <w:r w:rsidRPr="00CD380D">
        <w:rPr>
          <w:lang w:val="en-US"/>
        </w:rPr>
        <w:t>probability of detection of BHV1 infection in officially certified free dairy herds in the</w:t>
      </w:r>
      <w:r>
        <w:rPr>
          <w:lang w:val="en-US"/>
        </w:rPr>
        <w:t xml:space="preserve"> </w:t>
      </w:r>
      <w:r w:rsidRPr="00CD380D">
        <w:rPr>
          <w:lang w:val="en-US"/>
        </w:rPr>
        <w:t>Netherlands, and (ii) to evaluate the monthly probability of freedom when monitoring</w:t>
      </w:r>
      <w:r>
        <w:rPr>
          <w:lang w:val="en-US"/>
        </w:rPr>
        <w:t xml:space="preserve"> </w:t>
      </w:r>
      <w:r w:rsidRPr="00CD380D">
        <w:rPr>
          <w:lang w:val="en-US"/>
        </w:rPr>
        <w:t>the free status of these herds with two different surveillance scenarios.</w:t>
      </w:r>
    </w:p>
    <w:p w:rsidR="00CD380D" w:rsidRDefault="00CD380D" w:rsidP="00CD380D">
      <w:pPr>
        <w:rPr>
          <w:lang w:val="en-US"/>
        </w:rPr>
      </w:pPr>
      <w:r>
        <w:rPr>
          <w:lang w:val="en-US"/>
        </w:rPr>
        <w:t>58</w:t>
      </w:r>
    </w:p>
    <w:p w:rsidR="00CD380D" w:rsidRPr="00CD380D" w:rsidRDefault="00CD380D" w:rsidP="00CD380D">
      <w:pPr>
        <w:rPr>
          <w:lang w:val="en-US"/>
        </w:rPr>
      </w:pPr>
      <w:r w:rsidRPr="00CD380D">
        <w:rPr>
          <w:lang w:val="en-US"/>
        </w:rPr>
        <w:t>Context: Bayesian approaches to healthcare and responsible antimicrobial prescribing.</w:t>
      </w:r>
      <w:r>
        <w:rPr>
          <w:lang w:val="en-US"/>
        </w:rPr>
        <w:t xml:space="preserve"> </w:t>
      </w:r>
      <w:r w:rsidRPr="00CD380D">
        <w:rPr>
          <w:lang w:val="en-US"/>
        </w:rPr>
        <w:t>We explore the intuitiveness of Bayes Theorem when new data conflicts prior</w:t>
      </w:r>
      <w:r>
        <w:rPr>
          <w:lang w:val="en-US"/>
        </w:rPr>
        <w:t xml:space="preserve"> </w:t>
      </w:r>
      <w:r w:rsidRPr="00CD380D">
        <w:rPr>
          <w:lang w:val="en-US"/>
        </w:rPr>
        <w:t>veterinary beliefs for antibiotics versus teat seals (for preventing infections). We</w:t>
      </w:r>
      <w:r>
        <w:rPr>
          <w:lang w:val="en-US"/>
        </w:rPr>
        <w:t xml:space="preserve"> </w:t>
      </w:r>
      <w:r w:rsidRPr="00CD380D">
        <w:rPr>
          <w:lang w:val="en-US"/>
        </w:rPr>
        <w:t>demonstrate a practical method to quantify vets' beliefs, prior and post exposure to</w:t>
      </w:r>
      <w:r>
        <w:rPr>
          <w:lang w:val="en-US"/>
        </w:rPr>
        <w:t xml:space="preserve"> </w:t>
      </w:r>
      <w:r w:rsidRPr="00CD380D">
        <w:rPr>
          <w:lang w:val="en-US"/>
        </w:rPr>
        <w:t>new (synthetic) trial data. Results suggest practitioners are conservative when</w:t>
      </w:r>
      <w:r>
        <w:rPr>
          <w:lang w:val="en-US"/>
        </w:rPr>
        <w:t xml:space="preserve"> </w:t>
      </w:r>
      <w:r w:rsidRPr="00CD380D">
        <w:rPr>
          <w:lang w:val="en-US"/>
        </w:rPr>
        <w:t>interpreting data; we explain the significance of the results for evidence-based</w:t>
      </w:r>
      <w:r>
        <w:rPr>
          <w:lang w:val="en-US"/>
        </w:rPr>
        <w:t xml:space="preserve"> </w:t>
      </w:r>
      <w:r w:rsidRPr="00CD380D">
        <w:rPr>
          <w:lang w:val="en-US"/>
        </w:rPr>
        <w:t>veterinary medicine.</w:t>
      </w:r>
    </w:p>
    <w:sectPr w:rsidR="00CD380D" w:rsidRPr="00CD38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80D"/>
    <w:rsid w:val="001A34EB"/>
    <w:rsid w:val="00C03FAE"/>
    <w:rsid w:val="00CD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BBA6D0-122E-4C35-81D3-58C498C57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CD380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C03F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CD380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C03FA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44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1600</Words>
  <Characters>8480</Characters>
  <Application>Microsoft Office Word</Application>
  <DocSecurity>0</DocSecurity>
  <Lines>70</Lines>
  <Paragraphs>20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Statens Vetrinärmedicinska Anstalt</Company>
  <LinksUpToDate>false</LinksUpToDate>
  <CharactersWithSpaces>10060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Lindberg Ann</dc:creator>
  <cp:keywords/>
  <dc:description/>
  <cp:lastModifiedBy>Lindberg Ann</cp:lastModifiedBy>
  <cp:revision>1</cp:revision>
  <dcterms:created xsi:type="dcterms:W3CDTF">2015-10-07T20:08:00Z</dcterms:created>
  <dcterms:modified xsi:type="dcterms:W3CDTF">2015-10-07T20:25:00Z</dcterms:modified>
</cp:coreProperties>
</file>