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E4838" w14:textId="53C5EC35" w:rsidR="00F0478C" w:rsidRDefault="00F0478C"/>
    <w:tbl>
      <w:tblPr>
        <w:tblStyle w:val="TableGrid"/>
        <w:tblpPr w:leftFromText="180" w:rightFromText="180" w:vertAnchor="page" w:horzAnchor="margin" w:tblpXSpec="center" w:tblpY="826"/>
        <w:tblW w:w="15273" w:type="dxa"/>
        <w:tblLayout w:type="fixed"/>
        <w:tblLook w:val="04A0" w:firstRow="1" w:lastRow="0" w:firstColumn="1" w:lastColumn="0" w:noHBand="0" w:noVBand="1"/>
      </w:tblPr>
      <w:tblGrid>
        <w:gridCol w:w="1479"/>
        <w:gridCol w:w="954"/>
        <w:gridCol w:w="4033"/>
        <w:gridCol w:w="1273"/>
        <w:gridCol w:w="1167"/>
        <w:gridCol w:w="1379"/>
        <w:gridCol w:w="1591"/>
        <w:gridCol w:w="1697"/>
        <w:gridCol w:w="742"/>
        <w:gridCol w:w="958"/>
      </w:tblGrid>
      <w:tr w:rsidR="00F0478C" w:rsidRPr="00EC2C73" w14:paraId="23040134" w14:textId="77777777" w:rsidTr="00F0478C">
        <w:trPr>
          <w:trHeight w:val="451"/>
        </w:trPr>
        <w:tc>
          <w:tcPr>
            <w:tcW w:w="1479" w:type="dxa"/>
          </w:tcPr>
          <w:p w14:paraId="6961E5D2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 w:rsidRPr="00EC2C73">
              <w:rPr>
                <w:b/>
                <w:sz w:val="18"/>
                <w:szCs w:val="18"/>
              </w:rPr>
              <w:t>Surname</w:t>
            </w:r>
          </w:p>
        </w:tc>
        <w:tc>
          <w:tcPr>
            <w:tcW w:w="954" w:type="dxa"/>
          </w:tcPr>
          <w:p w14:paraId="6BBAA97D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 w:rsidRPr="00EC2C73">
              <w:rPr>
                <w:b/>
                <w:sz w:val="18"/>
                <w:szCs w:val="18"/>
              </w:rPr>
              <w:t>Session</w:t>
            </w:r>
          </w:p>
        </w:tc>
        <w:tc>
          <w:tcPr>
            <w:tcW w:w="4033" w:type="dxa"/>
          </w:tcPr>
          <w:p w14:paraId="73051871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 w:rsidRPr="00EC2C73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1273" w:type="dxa"/>
          </w:tcPr>
          <w:p w14:paraId="2587A6F5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Presentation</w:t>
            </w:r>
          </w:p>
        </w:tc>
        <w:tc>
          <w:tcPr>
            <w:tcW w:w="1167" w:type="dxa"/>
          </w:tcPr>
          <w:p w14:paraId="601CBAE0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Slides</w:t>
            </w:r>
          </w:p>
        </w:tc>
        <w:tc>
          <w:tcPr>
            <w:tcW w:w="1379" w:type="dxa"/>
          </w:tcPr>
          <w:p w14:paraId="493A1437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Science</w:t>
            </w:r>
          </w:p>
        </w:tc>
        <w:tc>
          <w:tcPr>
            <w:tcW w:w="1591" w:type="dxa"/>
          </w:tcPr>
          <w:p w14:paraId="542670F3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Knowledge</w:t>
            </w:r>
          </w:p>
        </w:tc>
        <w:tc>
          <w:tcPr>
            <w:tcW w:w="1697" w:type="dxa"/>
          </w:tcPr>
          <w:p w14:paraId="61C7F47D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Describe impact</w:t>
            </w:r>
          </w:p>
        </w:tc>
        <w:tc>
          <w:tcPr>
            <w:tcW w:w="742" w:type="dxa"/>
          </w:tcPr>
          <w:p w14:paraId="4EFB53EC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 w:rsidRPr="00EC2C73">
              <w:rPr>
                <w:b/>
                <w:sz w:val="18"/>
                <w:szCs w:val="18"/>
              </w:rPr>
              <w:t>Total score</w:t>
            </w:r>
          </w:p>
        </w:tc>
        <w:tc>
          <w:tcPr>
            <w:tcW w:w="958" w:type="dxa"/>
          </w:tcPr>
          <w:p w14:paraId="1ACF6FE2" w14:textId="77777777" w:rsidR="00F0478C" w:rsidRPr="00EC2C73" w:rsidRDefault="00F0478C" w:rsidP="00F0478C">
            <w:pPr>
              <w:jc w:val="center"/>
              <w:rPr>
                <w:b/>
                <w:sz w:val="18"/>
                <w:szCs w:val="18"/>
              </w:rPr>
            </w:pPr>
            <w:r w:rsidRPr="00EC2C73">
              <w:rPr>
                <w:b/>
                <w:sz w:val="18"/>
                <w:szCs w:val="18"/>
              </w:rPr>
              <w:t>Overall rank</w:t>
            </w:r>
          </w:p>
        </w:tc>
      </w:tr>
      <w:tr w:rsidR="00F0478C" w14:paraId="0B2A940F" w14:textId="77777777" w:rsidTr="00F0478C">
        <w:trPr>
          <w:trHeight w:val="747"/>
        </w:trPr>
        <w:tc>
          <w:tcPr>
            <w:tcW w:w="1479" w:type="dxa"/>
          </w:tcPr>
          <w:p w14:paraId="6BAEE208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Delecroix</w:t>
            </w:r>
          </w:p>
        </w:tc>
        <w:tc>
          <w:tcPr>
            <w:tcW w:w="954" w:type="dxa"/>
          </w:tcPr>
          <w:p w14:paraId="2F224B50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 xml:space="preserve">2 </w:t>
            </w:r>
          </w:p>
          <w:p w14:paraId="51B00006" w14:textId="7D864313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Wed</w:t>
            </w:r>
            <w:r>
              <w:rPr>
                <w:sz w:val="20"/>
                <w:szCs w:val="20"/>
              </w:rPr>
              <w:t xml:space="preserve"> PM</w:t>
            </w:r>
          </w:p>
        </w:tc>
        <w:tc>
          <w:tcPr>
            <w:tcW w:w="4033" w:type="dxa"/>
          </w:tcPr>
          <w:p w14:paraId="67FDB65A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Dilution by low-competence species reduces the risk of highly pathogenic avian influenza transmission</w:t>
            </w:r>
          </w:p>
        </w:tc>
        <w:tc>
          <w:tcPr>
            <w:tcW w:w="1273" w:type="dxa"/>
          </w:tcPr>
          <w:p w14:paraId="0B49822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1E13A5E8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72D0798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42D38F2E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4928AED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38C8C48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9292985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12A1BFB0" w14:textId="77777777" w:rsidTr="00F0478C">
        <w:trPr>
          <w:trHeight w:val="1011"/>
        </w:trPr>
        <w:tc>
          <w:tcPr>
            <w:tcW w:w="1479" w:type="dxa"/>
          </w:tcPr>
          <w:p w14:paraId="7B7EB486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Brauneisen</w:t>
            </w:r>
          </w:p>
        </w:tc>
        <w:tc>
          <w:tcPr>
            <w:tcW w:w="954" w:type="dxa"/>
          </w:tcPr>
          <w:p w14:paraId="46E077E8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 xml:space="preserve">2 </w:t>
            </w:r>
          </w:p>
          <w:p w14:paraId="2C64E99B" w14:textId="482CC3E1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Wed</w:t>
            </w:r>
            <w:r>
              <w:rPr>
                <w:sz w:val="20"/>
                <w:szCs w:val="20"/>
              </w:rPr>
              <w:t xml:space="preserve"> PM</w:t>
            </w:r>
          </w:p>
        </w:tc>
        <w:tc>
          <w:tcPr>
            <w:tcW w:w="4033" w:type="dxa"/>
          </w:tcPr>
          <w:p w14:paraId="3662AF7C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Sailing the waves of avian influenza epidemics: the key role of organizational and managerial bricolage</w:t>
            </w:r>
          </w:p>
        </w:tc>
        <w:tc>
          <w:tcPr>
            <w:tcW w:w="1273" w:type="dxa"/>
          </w:tcPr>
          <w:p w14:paraId="02F2E92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3BE79DD1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3F9E1F30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301F5120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3C78068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63A02577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1CA22B2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39BDFF67" w14:textId="77777777" w:rsidTr="00F0478C">
        <w:trPr>
          <w:trHeight w:val="1260"/>
        </w:trPr>
        <w:tc>
          <w:tcPr>
            <w:tcW w:w="1479" w:type="dxa"/>
          </w:tcPr>
          <w:p w14:paraId="62437F2E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Bareille</w:t>
            </w:r>
          </w:p>
        </w:tc>
        <w:tc>
          <w:tcPr>
            <w:tcW w:w="954" w:type="dxa"/>
          </w:tcPr>
          <w:p w14:paraId="5272E30C" w14:textId="3C99DAA8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3 Wed</w:t>
            </w:r>
            <w:r>
              <w:rPr>
                <w:sz w:val="20"/>
                <w:szCs w:val="20"/>
              </w:rPr>
              <w:t xml:space="preserve"> PM</w:t>
            </w:r>
          </w:p>
        </w:tc>
        <w:tc>
          <w:tcPr>
            <w:tcW w:w="4033" w:type="dxa"/>
          </w:tcPr>
          <w:p w14:paraId="1C7D2D4F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Unveiling temporal and regional factors of antibiotic resistance: a multisectoral panel analysis of fluoroquinolone-resistant E. coli across French regions</w:t>
            </w:r>
          </w:p>
        </w:tc>
        <w:tc>
          <w:tcPr>
            <w:tcW w:w="1273" w:type="dxa"/>
          </w:tcPr>
          <w:p w14:paraId="09400366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77CF0F68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5D8F0131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522D8ABE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383081F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37F71D53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E2CDA43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10A93970" w14:textId="77777777" w:rsidTr="00F0478C">
        <w:trPr>
          <w:trHeight w:val="1011"/>
        </w:trPr>
        <w:tc>
          <w:tcPr>
            <w:tcW w:w="1479" w:type="dxa"/>
          </w:tcPr>
          <w:p w14:paraId="48FBDBB3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Blache</w:t>
            </w:r>
          </w:p>
        </w:tc>
        <w:tc>
          <w:tcPr>
            <w:tcW w:w="954" w:type="dxa"/>
          </w:tcPr>
          <w:p w14:paraId="01282E3C" w14:textId="1315DCD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3 Wed</w:t>
            </w:r>
            <w:r>
              <w:rPr>
                <w:sz w:val="20"/>
                <w:szCs w:val="20"/>
              </w:rPr>
              <w:t xml:space="preserve"> PM</w:t>
            </w:r>
          </w:p>
        </w:tc>
        <w:tc>
          <w:tcPr>
            <w:tcW w:w="4033" w:type="dxa"/>
          </w:tcPr>
          <w:p w14:paraId="7D825CDB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Forest dynamics and exposure to Ixodes ricinus bites in France: insights from citizen science and land-use history</w:t>
            </w:r>
          </w:p>
        </w:tc>
        <w:tc>
          <w:tcPr>
            <w:tcW w:w="1273" w:type="dxa"/>
          </w:tcPr>
          <w:p w14:paraId="0D312C15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3274DDA6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4867EFB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5664F59C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7A2F343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7FF40EC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0E8DE69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3207C664" w14:textId="77777777" w:rsidTr="00F0478C">
        <w:trPr>
          <w:trHeight w:val="1011"/>
        </w:trPr>
        <w:tc>
          <w:tcPr>
            <w:tcW w:w="1479" w:type="dxa"/>
          </w:tcPr>
          <w:p w14:paraId="470D489E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Pîrvulescu</w:t>
            </w:r>
          </w:p>
        </w:tc>
        <w:tc>
          <w:tcPr>
            <w:tcW w:w="954" w:type="dxa"/>
          </w:tcPr>
          <w:p w14:paraId="63A7A173" w14:textId="0CDCB389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4 Thur</w:t>
            </w:r>
            <w:r>
              <w:rPr>
                <w:sz w:val="20"/>
                <w:szCs w:val="20"/>
              </w:rPr>
              <w:t xml:space="preserve"> AM</w:t>
            </w:r>
          </w:p>
        </w:tc>
        <w:tc>
          <w:tcPr>
            <w:tcW w:w="4033" w:type="dxa"/>
          </w:tcPr>
          <w:p w14:paraId="30E9A0A1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Expressing the economic burden of zoonotic Salmonella in poultry in a One Health context: application to three EU Member States</w:t>
            </w:r>
          </w:p>
        </w:tc>
        <w:tc>
          <w:tcPr>
            <w:tcW w:w="1273" w:type="dxa"/>
          </w:tcPr>
          <w:p w14:paraId="0DC410E4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35C8AA7C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6E411E9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533FE5B1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555B98EE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3606D64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F581AC5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026253DF" w14:textId="77777777" w:rsidTr="00F0478C">
        <w:trPr>
          <w:trHeight w:val="498"/>
        </w:trPr>
        <w:tc>
          <w:tcPr>
            <w:tcW w:w="1479" w:type="dxa"/>
          </w:tcPr>
          <w:p w14:paraId="6F52C776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Savioli</w:t>
            </w:r>
          </w:p>
        </w:tc>
        <w:tc>
          <w:tcPr>
            <w:tcW w:w="954" w:type="dxa"/>
          </w:tcPr>
          <w:p w14:paraId="55BAF19A" w14:textId="1ED07076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5 Thur</w:t>
            </w:r>
            <w:r>
              <w:rPr>
                <w:sz w:val="20"/>
                <w:szCs w:val="20"/>
              </w:rPr>
              <w:t xml:space="preserve"> AM</w:t>
            </w:r>
          </w:p>
        </w:tc>
        <w:tc>
          <w:tcPr>
            <w:tcW w:w="4033" w:type="dxa"/>
          </w:tcPr>
          <w:p w14:paraId="7FD384F9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Risk Mapping of West Nile Virus for Switzerland</w:t>
            </w:r>
          </w:p>
        </w:tc>
        <w:tc>
          <w:tcPr>
            <w:tcW w:w="1273" w:type="dxa"/>
          </w:tcPr>
          <w:p w14:paraId="70A1311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72E59AF8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6D7704E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0A0489B6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6B23B29A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5387B395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8013BDD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33A28F2D" w14:textId="77777777" w:rsidTr="00F0478C">
        <w:trPr>
          <w:trHeight w:val="1260"/>
        </w:trPr>
        <w:tc>
          <w:tcPr>
            <w:tcW w:w="1479" w:type="dxa"/>
          </w:tcPr>
          <w:p w14:paraId="11384989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Boeters</w:t>
            </w:r>
          </w:p>
        </w:tc>
        <w:tc>
          <w:tcPr>
            <w:tcW w:w="954" w:type="dxa"/>
          </w:tcPr>
          <w:p w14:paraId="3769D71A" w14:textId="36C89A73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5 Thur</w:t>
            </w:r>
            <w:r>
              <w:rPr>
                <w:sz w:val="20"/>
                <w:szCs w:val="20"/>
              </w:rPr>
              <w:t xml:space="preserve"> AM</w:t>
            </w:r>
          </w:p>
        </w:tc>
        <w:tc>
          <w:tcPr>
            <w:tcW w:w="4033" w:type="dxa"/>
          </w:tcPr>
          <w:p w14:paraId="726DD21D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A stochastic model to assess the multidimensional impact of Mycoplasma hyopneumoniae and the effectiveness of intervention strategies in fattening pigs</w:t>
            </w:r>
          </w:p>
        </w:tc>
        <w:tc>
          <w:tcPr>
            <w:tcW w:w="1273" w:type="dxa"/>
          </w:tcPr>
          <w:p w14:paraId="7A22A249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1DB8BF2F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538B40DE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204479D7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7E02E3E0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4FED001C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22A1633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  <w:tr w:rsidR="00F0478C" w14:paraId="3FC19BF9" w14:textId="77777777" w:rsidTr="00F0478C">
        <w:trPr>
          <w:trHeight w:val="747"/>
        </w:trPr>
        <w:tc>
          <w:tcPr>
            <w:tcW w:w="1479" w:type="dxa"/>
          </w:tcPr>
          <w:p w14:paraId="7E5B735B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Slegers</w:t>
            </w:r>
          </w:p>
        </w:tc>
        <w:tc>
          <w:tcPr>
            <w:tcW w:w="954" w:type="dxa"/>
          </w:tcPr>
          <w:p w14:paraId="15656B3D" w14:textId="61BB2136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6 Thur</w:t>
            </w:r>
            <w:r>
              <w:rPr>
                <w:sz w:val="20"/>
                <w:szCs w:val="20"/>
              </w:rPr>
              <w:t xml:space="preserve"> PM</w:t>
            </w:r>
          </w:p>
        </w:tc>
        <w:tc>
          <w:tcPr>
            <w:tcW w:w="4033" w:type="dxa"/>
          </w:tcPr>
          <w:p w14:paraId="6ECFBC54" w14:textId="77777777" w:rsidR="00F0478C" w:rsidRPr="00EC2C73" w:rsidRDefault="00F0478C" w:rsidP="00F0478C">
            <w:pPr>
              <w:rPr>
                <w:sz w:val="20"/>
                <w:szCs w:val="20"/>
              </w:rPr>
            </w:pPr>
            <w:r w:rsidRPr="00EC2C73">
              <w:rPr>
                <w:sz w:val="20"/>
                <w:szCs w:val="20"/>
              </w:rPr>
              <w:t>Optimising stocking density to support health and welfare in broiler production</w:t>
            </w:r>
          </w:p>
        </w:tc>
        <w:tc>
          <w:tcPr>
            <w:tcW w:w="1273" w:type="dxa"/>
          </w:tcPr>
          <w:p w14:paraId="3278D30F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7" w:type="dxa"/>
          </w:tcPr>
          <w:p w14:paraId="6045B9B1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9" w:type="dxa"/>
          </w:tcPr>
          <w:p w14:paraId="6DF1B3EF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</w:tcPr>
          <w:p w14:paraId="6C90C298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</w:tcPr>
          <w:p w14:paraId="08863B48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2" w:type="dxa"/>
          </w:tcPr>
          <w:p w14:paraId="209CE897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3E939B82" w14:textId="77777777" w:rsidR="00F0478C" w:rsidRPr="00EC2C73" w:rsidRDefault="00F0478C" w:rsidP="00F0478C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ED7575C" w14:textId="6D409EEB" w:rsidR="00F0478C" w:rsidRDefault="00F0478C" w:rsidP="00F0478C">
      <w:pPr>
        <w:spacing w:after="0" w:line="240" w:lineRule="auto"/>
      </w:pPr>
      <w:r>
        <w:t>Scoring Criteria: 1 poor – 3 average - 5 good</w:t>
      </w:r>
    </w:p>
    <w:p w14:paraId="11FEAD2E" w14:textId="546D6191" w:rsidR="00F0478C" w:rsidRDefault="00F0478C" w:rsidP="00F0478C">
      <w:pPr>
        <w:spacing w:after="0" w:line="240" w:lineRule="auto"/>
      </w:pPr>
      <w:r>
        <w:t>1. Quality of presentation; 2. Quality of slides; 3. Quality of Science; 4. Presenter’s knowledge of subject (response to questions); 5. Description of Impact of work.</w:t>
      </w:r>
    </w:p>
    <w:p w14:paraId="57CC4D7F" w14:textId="009F9838" w:rsidR="005A4D8C" w:rsidRDefault="00F0478C" w:rsidP="00F0478C">
      <w:pPr>
        <w:spacing w:after="0" w:line="240" w:lineRule="auto"/>
      </w:pPr>
      <w:r>
        <w:t>Total: Place weighting on impact all else being equal</w:t>
      </w:r>
    </w:p>
    <w:sectPr w:rsidR="005A4D8C" w:rsidSect="003C27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748"/>
    <w:rsid w:val="003C2748"/>
    <w:rsid w:val="005A4D8C"/>
    <w:rsid w:val="009B2F48"/>
    <w:rsid w:val="00BB6DD7"/>
    <w:rsid w:val="00BF439C"/>
    <w:rsid w:val="00C3552B"/>
    <w:rsid w:val="00E62A1A"/>
    <w:rsid w:val="00EC2C73"/>
    <w:rsid w:val="00ED7035"/>
    <w:rsid w:val="00F0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9746F"/>
  <w15:chartTrackingRefBased/>
  <w15:docId w15:val="{A29B4AFF-17E8-41AD-8BF1-861EE72A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2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Brennan Marnie</dc:creator>
  <cp:keywords/>
  <dc:description/>
  <cp:lastModifiedBy>Gomes do Carmo, Luís Pedro (VETSUISSE)</cp:lastModifiedBy>
  <cp:revision>4</cp:revision>
  <dcterms:created xsi:type="dcterms:W3CDTF">2026-03-21T14:40:00Z</dcterms:created>
  <dcterms:modified xsi:type="dcterms:W3CDTF">2026-04-08T12:41:00Z</dcterms:modified>
</cp:coreProperties>
</file>